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6.png" ContentType="image/png"/>
  <Override PartName="/word/media/rId106.png" ContentType="image/png"/>
  <Override PartName="/word/media/rId110.png" ContentType="image/png"/>
  <Override PartName="/word/media/rId121.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Word count:</w:t>
      </w:r>
      <w:r>
        <w:t xml:space="preserve"> </w:t>
      </w:r>
      <w:r>
        <w:t xml:space="preserve">xxx words / xxx words</w:t>
      </w:r>
    </w:p>
    <w:p>
      <w:pPr>
        <w:pStyle w:val="BodyText"/>
      </w:pPr>
      <w:r>
        <w:rPr>
          <w:b/>
          <w:bCs/>
          <w:u w:val="single"/>
        </w:rPr>
        <w:t xml:space="preserve">Tables:</w:t>
      </w:r>
      <w:r>
        <w:t xml:space="preserve"> </w:t>
      </w:r>
      <w:r>
        <w:t xml:space="preserve">x</w:t>
      </w:r>
    </w:p>
    <w:p>
      <w:pPr>
        <w:pStyle w:val="BodyText"/>
      </w:pPr>
      <w:r>
        <w:rPr>
          <w:b/>
          <w:bCs/>
          <w:u w:val="single"/>
        </w:rPr>
        <w:t xml:space="preserve">Figures:</w:t>
      </w:r>
      <w:r>
        <w:t xml:space="preserve"> </w:t>
      </w:r>
      <w:r>
        <w:t xml:space="preserve">x</w:t>
      </w:r>
    </w:p>
    <w:p>
      <w:pPr>
        <w:pStyle w:val="BodyText"/>
      </w:pPr>
      <w:r>
        <w:rPr>
          <w:b/>
          <w:bCs/>
          <w:u w:val="single"/>
        </w:rPr>
        <w:t xml:space="preserve">Supplementary material:</w:t>
      </w:r>
      <w:r>
        <w:t xml:space="preserve"> </w:t>
      </w:r>
      <w:r>
        <w:t xml:space="preserve">Supplementary tables and figures</w:t>
      </w:r>
    </w:p>
    <w:p>
      <w:pPr>
        <w:pStyle w:val="BodyText"/>
      </w:pPr>
      <w:r>
        <w:rPr>
          <w:b/>
          <w:bCs/>
          <w:u w:val="single"/>
        </w:rPr>
        <w:t xml:space="preserve">Short running title</w:t>
      </w:r>
      <w:r>
        <w:t xml:space="preserve">: …</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w:t>
      </w:r>
    </w:p>
    <w:p>
      <w:pPr>
        <w:pStyle w:val="BodyText"/>
      </w:pPr>
      <w:r>
        <w:rPr>
          <w:b/>
          <w:bCs/>
          <w:u w:val="single"/>
        </w:rPr>
        <w:t xml:space="preserve">Analytic code sharing statement:</w:t>
      </w:r>
      <w:r>
        <w:t xml:space="preserve"> </w:t>
      </w:r>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2024-12-15 15:13:14.367094</w:t>
      </w:r>
    </w:p>
    <w:p>
      <w:r>
        <w:br w:type="page"/>
      </w:r>
    </w:p>
    <w:bookmarkStart w:id="21" w:name="abstract"/>
    <w:p>
      <w:pPr>
        <w:pStyle w:val="Heading1"/>
      </w:pPr>
      <w:r>
        <w:t xml:space="preserve">Abstract</w:t>
      </w:r>
    </w:p>
    <w:p>
      <w:pPr>
        <w:pStyle w:val="FirstParagraph"/>
      </w:pPr>
      <w:r>
        <w:t xml:space="preserve">xxx words/xxx words</w:t>
      </w:r>
    </w:p>
    <w:p>
      <w:pPr>
        <w:pStyle w:val="BodyText"/>
      </w:pPr>
      <w:r>
        <w:t xml:space="preserve">…</w:t>
      </w:r>
    </w:p>
    <w:p>
      <w:r>
        <w:br w:type="page"/>
      </w:r>
    </w:p>
    <w:bookmarkEnd w:id="21"/>
    <w:bookmarkStart w:id="22"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With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2"/>
    <w:bookmarkStart w:id="33"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3"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3"/>
    <w:bookmarkStart w:id="24"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4"/>
    <w:bookmarkStart w:id="26"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5" w:name="emulation-feasibility"/>
    <w:p>
      <w:pPr>
        <w:pStyle w:val="Heading3"/>
      </w:pPr>
      <w:r>
        <w:t xml:space="preserve">Emulation feasibility</w:t>
      </w:r>
    </w:p>
    <w:p>
      <w:pPr>
        <w:pStyle w:val="FirstParagraph"/>
      </w:pPr>
      <w:r>
        <w:rPr>
          <w:b/>
          <w:bCs/>
        </w:rPr>
        <w:t xml:space="preserve">Fit-for-purpose data.</w:t>
      </w:r>
      <w:r>
        <w:t xml:space="preserve"> </w:t>
      </w: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p>
      <w:pPr>
        <w:pStyle w:val="BodyText"/>
      </w:pPr>
      <w:r>
        <w:rPr>
          <w:b/>
          <w:bCs/>
        </w:rPr>
        <w:t xml:space="preserve">Descriptives and data exploration.</w:t>
      </w:r>
      <w:r>
        <w:t xml:space="preserve"> </w:t>
      </w: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p>
      <w:pPr>
        <w:pStyle w:val="BodyText"/>
      </w:pPr>
      <w:r>
        <w:rPr>
          <w:b/>
          <w:bCs/>
        </w:rPr>
        <w:t xml:space="preserve">Statistical power</w:t>
      </w:r>
      <w:r>
        <w:t xml:space="preserve">. 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5"/>
    <w:bookmarkEnd w:id="26"/>
    <w:bookmarkStart w:id="31"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27"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27"/>
    <w:bookmarkStart w:id="28"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28"/>
    <w:bookmarkStart w:id="29"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29"/>
    <w:bookmarkStart w:id="30"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w:t>
      </w:r>
    </w:p>
    <w:p>
      <w:pPr>
        <w:numPr>
          <w:ilvl w:val="0"/>
          <w:numId w:val="1002"/>
        </w:numPr>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numPr>
          <w:ilvl w:val="0"/>
          <w:numId w:val="1002"/>
        </w:numPr>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numPr>
          <w:ilvl w:val="0"/>
          <w:numId w:val="1002"/>
        </w:numPr>
      </w:pPr>
      <w:r>
        <w:rPr>
          <w:b/>
          <w:bCs/>
        </w:rPr>
        <w:t xml:space="preserve">SMD agreement</w:t>
      </w:r>
      <w:r>
        <w:t xml:space="preserve">: quantification of the agreement between the emulated RWE and RCT treatment effect estimate. The SMD is calculated as</w:t>
      </w:r>
    </w:p>
    <w:p>
      <w:pPr>
        <w:pStyle w:val="FirstParagraph"/>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2"/>
    <w:bookmarkEnd w:id="33"/>
    <w:bookmarkStart w:id="35"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w:t>
      </w:r>
    </w:p>
    <w:p>
      <w:pPr>
        <w:numPr>
          <w:ilvl w:val="0"/>
          <w:numId w:val="1003"/>
        </w:numPr>
      </w:pPr>
      <w:r>
        <w:t xml:space="preserve">Distributions of target populations in international trials…genetic setup.</w:t>
      </w:r>
    </w:p>
    <w:p>
      <w:pPr>
        <w:numPr>
          <w:ilvl w:val="0"/>
          <w:numId w:val="1003"/>
        </w:numPr>
      </w:pPr>
      <w:r>
        <w:t xml:space="preserve">Bias towards the null, per protocol effect difficult</w:t>
      </w:r>
    </w:p>
    <w:p>
      <w:pPr>
        <w:numPr>
          <w:ilvl w:val="0"/>
          <w:numId w:val="1003"/>
        </w:numPr>
      </w:pPr>
      <w:r>
        <w:t xml:space="preserve">Transportability =&gt; RWE estimates may not be the same as RCT but still informative given more generalizable/broader populations considered</w:t>
      </w:r>
    </w:p>
    <w:bookmarkStart w:id="34" w:name="conclusions"/>
    <w:p>
      <w:pPr>
        <w:pStyle w:val="Heading2"/>
      </w:pPr>
      <w:r>
        <w:t xml:space="preserve">Conclusions</w:t>
      </w:r>
    </w:p>
    <w:p>
      <w:pPr>
        <w:pStyle w:val="FirstParagraph"/>
      </w:pPr>
      <w:r>
        <w:t xml:space="preserve">…</w:t>
      </w:r>
    </w:p>
    <w:p>
      <w:r>
        <w:br w:type="page"/>
      </w:r>
    </w:p>
    <w:bookmarkEnd w:id="34"/>
    <w:bookmarkEnd w:id="35"/>
    <w:bookmarkStart w:id="105" w:name="references"/>
    <w:p>
      <w:pPr>
        <w:pStyle w:val="Heading1"/>
      </w:pPr>
      <w:r>
        <w:t xml:space="preserve">References</w:t>
      </w:r>
    </w:p>
    <w:bookmarkStart w:id="104" w:name="refs"/>
    <w:bookmarkStart w:id="37" w:name="ref-RWEFDA"/>
    <w:p>
      <w:pPr>
        <w:pStyle w:val="Bibliography"/>
      </w:pPr>
      <w:r>
        <w:rPr>
          <w:b/>
          <w:bCs/>
        </w:rPr>
        <w:t xml:space="preserve">1</w:t>
      </w:r>
      <w:r>
        <w:t xml:space="preserve">. Framework for FDA’s real-world evidence program (last accessed 11/28/2024) [Internet], 2018Available from:</w:t>
      </w:r>
      <w:r>
        <w:t xml:space="preserve"> </w:t>
      </w:r>
      <w:hyperlink r:id="rId36">
        <w:r>
          <w:rPr>
            <w:rStyle w:val="Hyperlink"/>
          </w:rPr>
          <w:t xml:space="preserve">https://www.fda.gov/media/120060/download?attachment</w:t>
        </w:r>
      </w:hyperlink>
    </w:p>
    <w:bookmarkEnd w:id="37"/>
    <w:bookmarkStart w:id="38"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38"/>
    <w:bookmarkStart w:id="39" w:name="ref-senior2024fresh"/>
    <w:p>
      <w:pPr>
        <w:pStyle w:val="Bibliography"/>
      </w:pPr>
      <w:r>
        <w:rPr>
          <w:b/>
          <w:bCs/>
        </w:rPr>
        <w:t xml:space="preserve">3</w:t>
      </w:r>
      <w:r>
        <w:t xml:space="preserve">. Senior M: Fresh from the biotech pipeline: Record-breaking FDA approvals. Nature Biotechnology, 2024</w:t>
      </w:r>
    </w:p>
    <w:bookmarkEnd w:id="39"/>
    <w:bookmarkStart w:id="41"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0">
        <w:r>
          <w:rPr>
            <w:rStyle w:val="Hyperlink"/>
          </w:rPr>
          <w:t xml:space="preserve">http://dx.doi.org/10.1016/j.annepidem.2022.07.007</w:t>
        </w:r>
      </w:hyperlink>
    </w:p>
    <w:bookmarkEnd w:id="41"/>
    <w:bookmarkStart w:id="42"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2"/>
    <w:bookmarkStart w:id="43"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3"/>
    <w:bookmarkStart w:id="44"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4"/>
    <w:bookmarkStart w:id="45"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5"/>
    <w:bookmarkStart w:id="47" w:name="ref-wang2023emulation"/>
    <w:p>
      <w:pPr>
        <w:pStyle w:val="Bibliography"/>
      </w:pPr>
      <w:r>
        <w:rPr>
          <w:b/>
          <w:bCs/>
        </w:rPr>
        <w:t xml:space="preserve">9</w:t>
      </w:r>
      <w:r>
        <w:t xml:space="preserve">. Wang SV, Schneeweiss S, Franklin JM, et al:</w:t>
      </w:r>
      <w:r>
        <w:t xml:space="preserve"> </w:t>
      </w:r>
      <w:hyperlink r:id="rId46">
        <w:r>
          <w:rPr>
            <w:rStyle w:val="Hyperlink"/>
          </w:rPr>
          <w:t xml:space="preserve">Emulation of randomized clinical trials with nonrandomized database analyses: Results of 32 clinical trials</w:t>
        </w:r>
      </w:hyperlink>
      <w:r>
        <w:t xml:space="preserve">. Jama 329:1376–1385, 2023</w:t>
      </w:r>
    </w:p>
    <w:bookmarkEnd w:id="47"/>
    <w:bookmarkStart w:id="49"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48">
        <w:r>
          <w:rPr>
            <w:rStyle w:val="Hyperlink"/>
          </w:rPr>
          <w:t xml:space="preserve">https://doi.org/10.1136/bmjmed-2023-000709</w:t>
        </w:r>
      </w:hyperlink>
    </w:p>
    <w:bookmarkEnd w:id="49"/>
    <w:bookmarkStart w:id="51"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0">
        <w:r>
          <w:rPr>
            <w:rStyle w:val="Hyperlink"/>
          </w:rPr>
          <w:t xml:space="preserve">https://www.fda.gov/about-fda/oncology-center-excellence/calibrating-real-world-evidence-studies-oncology-against-randomized-trials-encore</w:t>
        </w:r>
      </w:hyperlink>
    </w:p>
    <w:bookmarkEnd w:id="51"/>
    <w:bookmarkStart w:id="52"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2"/>
    <w:bookmarkStart w:id="53"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3"/>
    <w:bookmarkStart w:id="54"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4"/>
    <w:bookmarkStart w:id="55"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5"/>
    <w:bookmarkStart w:id="57"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56">
        <w:r>
          <w:rPr>
            <w:rStyle w:val="Hyperlink"/>
          </w:rPr>
          <w:t xml:space="preserve">https://doi.org/10.1158/1078-0432.CCR-22-0471</w:t>
        </w:r>
      </w:hyperlink>
    </w:p>
    <w:bookmarkEnd w:id="57"/>
    <w:bookmarkStart w:id="58"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58"/>
    <w:bookmarkStart w:id="60"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59">
        <w:r>
          <w:rPr>
            <w:rStyle w:val="Hyperlink"/>
          </w:rPr>
          <w:t xml:space="preserve">https://ascopubs.org/doi/abs/10.1200/JCO.2023.41.16_suppl.e21194</w:t>
        </w:r>
      </w:hyperlink>
    </w:p>
    <w:bookmarkEnd w:id="60"/>
    <w:bookmarkStart w:id="61"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1"/>
    <w:bookmarkStart w:id="62"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2"/>
    <w:bookmarkStart w:id="64"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3">
        <w:r>
          <w:rPr>
            <w:rStyle w:val="Hyperlink"/>
          </w:rPr>
          <w:t xml:space="preserve">https://doi.org/10.1016/j.jval.2022.09.001</w:t>
        </w:r>
      </w:hyperlink>
    </w:p>
    <w:bookmarkEnd w:id="64"/>
    <w:bookmarkStart w:id="65"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5"/>
    <w:bookmarkStart w:id="67" w:name="ref-hernan2016specifying"/>
    <w:p>
      <w:pPr>
        <w:pStyle w:val="Bibliography"/>
      </w:pPr>
      <w:r>
        <w:rPr>
          <w:b/>
          <w:bCs/>
        </w:rPr>
        <w:t xml:space="preserve">23</w:t>
      </w:r>
      <w:r>
        <w:t xml:space="preserve">. Hernán MA, Sauer BC, Hernández-Dı́az S, et al:</w:t>
      </w:r>
      <w:r>
        <w:t xml:space="preserve"> </w:t>
      </w:r>
      <w:hyperlink r:id="rId66">
        <w:r>
          <w:rPr>
            <w:rStyle w:val="Hyperlink"/>
          </w:rPr>
          <w:t xml:space="preserve">Specifying a target trial prevents immortal time bias and other self-inflicted injuries in observational analyses</w:t>
        </w:r>
      </w:hyperlink>
      <w:r>
        <w:t xml:space="preserve">. Journal of clinical epidemiology 79:70–75, 2016</w:t>
      </w:r>
    </w:p>
    <w:bookmarkEnd w:id="67"/>
    <w:bookmarkStart w:id="68"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68"/>
    <w:bookmarkStart w:id="70"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69">
        <w:r>
          <w:rPr>
            <w:rStyle w:val="Hyperlink"/>
          </w:rPr>
          <w:t xml:space="preserve">http://dx.doi.org/10.1002/pst.1917</w:t>
        </w:r>
      </w:hyperlink>
    </w:p>
    <w:bookmarkEnd w:id="70"/>
    <w:bookmarkStart w:id="71"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1"/>
    <w:bookmarkStart w:id="72"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2"/>
    <w:bookmarkStart w:id="73" w:name="ref-schoenfeld1983sample"/>
    <w:p>
      <w:pPr>
        <w:pStyle w:val="Bibliography"/>
      </w:pPr>
      <w:r>
        <w:rPr>
          <w:b/>
          <w:bCs/>
        </w:rPr>
        <w:t xml:space="preserve">28</w:t>
      </w:r>
      <w:r>
        <w:t xml:space="preserve">. Schoenfeld DA: Sample-size formula for the proportional-hazards regression model. Biometrics 499–503, 1983</w:t>
      </w:r>
    </w:p>
    <w:bookmarkEnd w:id="73"/>
    <w:bookmarkStart w:id="75" w:name="ref-gsDesign"/>
    <w:p>
      <w:pPr>
        <w:pStyle w:val="Bibliography"/>
      </w:pPr>
      <w:r>
        <w:rPr>
          <w:b/>
          <w:bCs/>
        </w:rPr>
        <w:t xml:space="preserve">29</w:t>
      </w:r>
      <w:r>
        <w:t xml:space="preserve">. Anderson K: gsDesign: Group sequential design [Internet], 2024Available from:</w:t>
      </w:r>
      <w:r>
        <w:t xml:space="preserve"> </w:t>
      </w:r>
      <w:hyperlink r:id="rId74">
        <w:r>
          <w:rPr>
            <w:rStyle w:val="Hyperlink"/>
          </w:rPr>
          <w:t xml:space="preserve">https://keaven.github.io/gsDesign/</w:t>
        </w:r>
      </w:hyperlink>
    </w:p>
    <w:bookmarkEnd w:id="75"/>
    <w:bookmarkStart w:id="76"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76"/>
    <w:bookmarkStart w:id="77" w:name="ref-rubin1976inference"/>
    <w:p>
      <w:pPr>
        <w:pStyle w:val="Bibliography"/>
      </w:pPr>
      <w:r>
        <w:rPr>
          <w:b/>
          <w:bCs/>
        </w:rPr>
        <w:t xml:space="preserve">31</w:t>
      </w:r>
      <w:r>
        <w:t xml:space="preserve">. Rubin DB: Inference and missing data. Biometrika 63:581–592, 1976</w:t>
      </w:r>
    </w:p>
    <w:bookmarkEnd w:id="77"/>
    <w:bookmarkStart w:id="78"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78"/>
    <w:bookmarkStart w:id="80"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79">
        <w:r>
          <w:rPr>
            <w:rStyle w:val="Hyperlink"/>
          </w:rPr>
          <w:t xml:space="preserve"> </w:t>
        </w:r>
        <w:r>
          <w:rPr>
            <w:rStyle w:val="Hyperlink"/>
          </w:rPr>
          <w:t xml:space="preserve">https://www.tandfonline.com/doi/abs/10.2147/CLEP.S436131</w:t>
        </w:r>
        <w:r>
          <w:rPr>
            <w:rStyle w:val="Hyperlink"/>
          </w:rPr>
          <w:t xml:space="preserve"> </w:t>
        </w:r>
      </w:hyperlink>
    </w:p>
    <w:bookmarkEnd w:id="80"/>
    <w:bookmarkStart w:id="81"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1"/>
    <w:bookmarkStart w:id="82"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2"/>
    <w:bookmarkStart w:id="84"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3">
        <w:r>
          <w:rPr>
            <w:rStyle w:val="Hyperlink"/>
          </w:rPr>
          <w:t xml:space="preserve">https://arxiv.org/abs/2405.10925</w:t>
        </w:r>
      </w:hyperlink>
    </w:p>
    <w:bookmarkEnd w:id="84"/>
    <w:bookmarkStart w:id="86"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5">
        <w:r>
          <w:rPr>
            <w:rStyle w:val="Hyperlink"/>
          </w:rPr>
          <w:t xml:space="preserve">https://github.com/PamelaShaw/Missing-Confounders-Methods</w:t>
        </w:r>
      </w:hyperlink>
    </w:p>
    <w:bookmarkEnd w:id="86"/>
    <w:bookmarkStart w:id="87" w:name="ref-cox1972regression"/>
    <w:p>
      <w:pPr>
        <w:pStyle w:val="Bibliography"/>
      </w:pPr>
      <w:r>
        <w:rPr>
          <w:b/>
          <w:bCs/>
        </w:rPr>
        <w:t xml:space="preserve">38</w:t>
      </w:r>
      <w:r>
        <w:t xml:space="preserve">. Cox DR: Regression models and life-tables. Journal of the royal statistical society. Series B (Methodological) 34:187–220, 1972</w:t>
      </w:r>
    </w:p>
    <w:bookmarkEnd w:id="87"/>
    <w:bookmarkStart w:id="88" w:name="ref-hernan2010hazards"/>
    <w:p>
      <w:pPr>
        <w:pStyle w:val="Bibliography"/>
      </w:pPr>
      <w:r>
        <w:rPr>
          <w:b/>
          <w:bCs/>
        </w:rPr>
        <w:t xml:space="preserve">39</w:t>
      </w:r>
      <w:r>
        <w:t xml:space="preserve">. Hernán MA: The hazards of hazard ratios. Epidemiology 21:13–15, 2010</w:t>
      </w:r>
    </w:p>
    <w:bookmarkEnd w:id="88"/>
    <w:bookmarkStart w:id="90" w:name="ref-stensrud2020test"/>
    <w:p>
      <w:pPr>
        <w:pStyle w:val="Bibliography"/>
      </w:pPr>
      <w:r>
        <w:rPr>
          <w:b/>
          <w:bCs/>
        </w:rPr>
        <w:t xml:space="preserve">40</w:t>
      </w:r>
      <w:r>
        <w:t xml:space="preserve">. Stensrud MJ, Hernán MA:</w:t>
      </w:r>
      <w:r>
        <w:t xml:space="preserve"> </w:t>
      </w:r>
      <w:hyperlink r:id="rId89">
        <w:r>
          <w:rPr>
            <w:rStyle w:val="Hyperlink"/>
          </w:rPr>
          <w:t xml:space="preserve">Why test for proportional hazards?</w:t>
        </w:r>
      </w:hyperlink>
      <w:r>
        <w:t xml:space="preserve"> Jama 323:1401–1402, 2020</w:t>
      </w:r>
    </w:p>
    <w:bookmarkEnd w:id="90"/>
    <w:bookmarkStart w:id="91"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1"/>
    <w:bookmarkStart w:id="92"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2"/>
    <w:bookmarkStart w:id="93"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3"/>
    <w:bookmarkStart w:id="94"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4"/>
    <w:bookmarkStart w:id="95" w:name="ref-rubin2018multiple"/>
    <w:p>
      <w:pPr>
        <w:pStyle w:val="Bibliography"/>
      </w:pPr>
      <w:r>
        <w:rPr>
          <w:b/>
          <w:bCs/>
        </w:rPr>
        <w:t xml:space="preserve">45</w:t>
      </w:r>
      <w:r>
        <w:t xml:space="preserve">. Rubin DB: Multiple imputation, in Flexible imputation of missing data, second edition. Chapman; Hall/CRC, 2018, pp 29–62</w:t>
      </w:r>
    </w:p>
    <w:bookmarkEnd w:id="95"/>
    <w:bookmarkStart w:id="96"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6"/>
    <w:bookmarkStart w:id="97"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97"/>
    <w:bookmarkStart w:id="98"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98"/>
    <w:bookmarkStart w:id="99"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99"/>
    <w:bookmarkStart w:id="101"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0">
        <w:r>
          <w:rPr>
            <w:rStyle w:val="Hyperlink"/>
          </w:rPr>
          <w:t xml:space="preserve">http://dx.doi.org/10.1007/s10198-008-0129-y</w:t>
        </w:r>
      </w:hyperlink>
    </w:p>
    <w:bookmarkEnd w:id="101"/>
    <w:bookmarkStart w:id="102"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2"/>
    <w:bookmarkStart w:id="103"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3"/>
    <w:bookmarkEnd w:id="104"/>
    <w:p>
      <w:r>
        <w:br w:type="page"/>
      </w:r>
    </w:p>
    <w:bookmarkEnd w:id="105"/>
    <w:bookmarkStart w:id="115"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09"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4571539"/>
                  <wp:effectExtent b="0" l="0" r="0" t="0"/>
                  <wp:docPr descr="" title="" id="107" name="Picture"/>
                  <a:graphic>
                    <a:graphicData uri="http://schemas.openxmlformats.org/drawingml/2006/picture">
                      <pic:pic>
                        <pic:nvPicPr>
                          <pic:cNvPr descr="../tables/Table_1_trial_eligibility.png" id="108" name="Picture"/>
                          <pic:cNvPicPr>
                            <a:picLocks noChangeArrowheads="1" noChangeAspect="1"/>
                          </pic:cNvPicPr>
                        </pic:nvPicPr>
                        <pic:blipFill>
                          <a:blip r:embed="rId106"/>
                          <a:stretch>
                            <a:fillRect/>
                          </a:stretch>
                        </pic:blipFill>
                        <pic:spPr bwMode="auto">
                          <a:xfrm>
                            <a:off x="0" y="0"/>
                            <a:ext cx="5943600" cy="4571539"/>
                          </a:xfrm>
                          <a:prstGeom prst="rect">
                            <a:avLst/>
                          </a:prstGeom>
                          <a:noFill/>
                          <a:ln w="9525">
                            <a:noFill/>
                            <a:headEnd/>
                            <a:tailEnd/>
                          </a:ln>
                        </pic:spPr>
                      </pic:pic>
                    </a:graphicData>
                  </a:graphic>
                </wp:inline>
              </w:drawing>
            </w:r>
          </w:p>
          <w:bookmarkEnd w:id="109"/>
        </w:tc>
      </w:tr>
    </w:tbl>
    <w:p>
      <w:r>
        <w:br w:type="page"/>
      </w:r>
    </w:p>
    <w:tbl>
      <w:tblPr>
        <w:tblStyle w:val="Table"/>
        <w:tblW w:type="pct" w:w="5000"/>
        <w:tblLayout w:type="fixed"/>
        <w:tblLook w:firstRow="0" w:lastRow="0" w:firstColumn="0" w:lastColumn="0" w:noHBand="0" w:noVBand="0" w:val="0000"/>
      </w:tblPr>
      <w:tblGrid>
        <w:gridCol w:w="7920"/>
      </w:tblGrid>
      <w:tr>
        <w:tc>
          <w:tcPr/>
          <w:bookmarkStart w:id="113"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5218624"/>
                  <wp:effectExtent b="0" l="0" r="0" t="0"/>
                  <wp:docPr descr="" title="" id="111" name="Picture"/>
                  <a:graphic>
                    <a:graphicData uri="http://schemas.openxmlformats.org/drawingml/2006/picture">
                      <pic:pic>
                        <pic:nvPicPr>
                          <pic:cNvPr descr="../tables/Table_2_trial_selection.png" id="112" name="Picture"/>
                          <pic:cNvPicPr>
                            <a:picLocks noChangeArrowheads="1" noChangeAspect="1"/>
                          </pic:cNvPicPr>
                        </pic:nvPicPr>
                        <pic:blipFill>
                          <a:blip r:embed="rId110"/>
                          <a:stretch>
                            <a:fillRect/>
                          </a:stretch>
                        </pic:blipFill>
                        <pic:spPr bwMode="auto">
                          <a:xfrm>
                            <a:off x="0" y="0"/>
                            <a:ext cx="5943600" cy="5218624"/>
                          </a:xfrm>
                          <a:prstGeom prst="rect">
                            <a:avLst/>
                          </a:prstGeom>
                          <a:noFill/>
                          <a:ln w="9525">
                            <a:noFill/>
                            <a:headEnd/>
                            <a:tailEnd/>
                          </a:ln>
                        </pic:spPr>
                      </pic:pic>
                    </a:graphicData>
                  </a:graphic>
                </wp:inline>
              </w:drawing>
            </w:r>
          </w:p>
          <w:bookmarkEnd w:id="113"/>
        </w:tc>
      </w:tr>
    </w:tbl>
    <w:p>
      <w:r>
        <w:br w:type="page"/>
      </w:r>
    </w:p>
    <w:tbl>
      <w:tblPr>
        <w:tblStyle w:val="Table"/>
        <w:tblW w:type="pct" w:w="5000"/>
        <w:tblLayout w:type="fixed"/>
        <w:tblLook w:firstRow="0" w:lastRow="0" w:firstColumn="0" w:lastColumn="0" w:noHBand="0" w:noVBand="0" w:val="0000"/>
      </w:tblPr>
      <w:tblGrid>
        <w:gridCol w:w="7920"/>
      </w:tblGrid>
      <w:tr>
        <w:tc>
          <w:tcPr/>
          <w:bookmarkStart w:id="114" w:name="tbl-metrics"/>
          <w:p>
            <w:pPr>
              <w:jc w:val="center"/>
            </w:pPr>
            <w:pPr>
              <w:jc w:val="start"/>
              <w:spacing w:before="200"/>
              <w:pStyle w:val="ImageCaption"/>
            </w:pPr>
            <w:r>
              <w:t xml:space="preserve">Table 3: Visualization of agreement metrics example.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rFonts w:ascii="Calibri" w:hAnsi="Calibri"/>
                      <w:sz w:val="20"/>
                      <w:b w:val="true"/>
                    </w:rPr>
                    <w:t xml:space="default">HR (95% CI)</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Trial</w:t>
                  </w:r>
                </w:p>
              </w:tc>
              <w:tc>
                <w:tcPr>
                  <w:tcBorders>
                    <w:bottom w:val="single" w:sz="16" w:space="0" w:color="D3D3D3"/>
                  </w:tcBorders>
                </w:tcPr>
                <w:p>
                  <w:pPr>
                    <w:spacing w:before="0" w:after="60"/>
                    <w:keepNext/>
                    <w:jc w:val="center"/>
                  </w:pPr>
                  <w:r>
                    <w:rPr>
                      <w:rFonts w:ascii="Calibri" w:hAnsi="Calibri"/>
                      <w:sz w:val="20"/>
                    </w:rPr>
                    <w:t xml:space="default">RCT</w:t>
                  </w:r>
                </w:p>
              </w:tc>
              <w:tc>
                <w:tcPr>
                  <w:tcBorders>
                    <w:bottom w:val="single" w:sz="16" w:space="0" w:color="D3D3D3"/>
                  </w:tcBorders>
                </w:tcPr>
                <w:p>
                  <w:pPr>
                    <w:spacing w:before="0" w:after="60"/>
                    <w:keepNext/>
                    <w:jc w:val="center"/>
                  </w:pPr>
                  <w:r>
                    <w:rPr>
                      <w:rFonts w:ascii="Calibri" w:hAnsi="Calibri"/>
                      <w:sz w:val="20"/>
                    </w:rPr>
                    <w:t xml:space="default">RWE</w:t>
                  </w:r>
                </w:p>
              </w:tc>
              <w:tc>
                <w:tcPr>
                  <w:tcBorders>
                    <w:bottom w:val="single" w:sz="16" w:space="0" w:color="D3D3D3"/>
                  </w:tcBorders>
                </w:tcPr>
                <w:p>
                  <w:pPr>
                    <w:spacing w:before="0" w:after="60"/>
                    <w:keepNext/>
                    <w:jc w:val="start"/>
                  </w:pPr>
                  <w:r>
                    <w:rPr>
                      <w:rFonts w:ascii="Calibri" w:hAnsi="Calibri"/>
                      <w:sz w:val="20"/>
                    </w:rPr>
                    <w:t xml:space="preserve">Regulatory </w:t>
                  </w:r>
                  \line 
                  <w:r>
                    <w:rPr>
                      <w:rFonts w:ascii="Calibri" w:hAnsi="Calibri"/>
                      <w:sz w:val="20"/>
                    </w:rPr>
                    <w:t xml:space="preserve"> agreement</w:t>
                  </w:r>
                </w:p>
              </w:tc>
              <w:tc>
                <w:tcPr>
                  <w:tcBorders>
                    <w:bottom w:val="single" w:sz="16" w:space="0" w:color="D3D3D3"/>
                  </w:tcBorders>
                </w:tcPr>
                <w:p>
                  <w:pPr>
                    <w:spacing w:before="0" w:after="60"/>
                    <w:keepNext/>
                    <w:jc w:val="start"/>
                  </w:pPr>
                  <w:r>
                    <w:rPr>
                      <w:rFonts w:ascii="Calibri" w:hAnsi="Calibri"/>
                      <w:sz w:val="20"/>
                    </w:rPr>
                    <w:t xml:space="preserve">Estimate </w:t>
                  </w:r>
                  \line 
                  <w:r>
                    <w:rPr>
                      <w:rFonts w:ascii="Calibri" w:hAnsi="Calibri"/>
                      <w:sz w:val="20"/>
                    </w:rPr>
                    <w:t xml:space="preserve"> agreement</w:t>
                  </w:r>
                </w:p>
              </w:tc>
              <w:tc>
                <w:tcPr>
                  <w:tcBorders>
                    <w:bottom w:val="single" w:sz="16" w:space="0" w:color="D3D3D3"/>
                    <w:end w:val="single" w:space="0" w:color="D3D3D3"/>
                  </w:tcBorders>
                </w:tcPr>
                <w:p>
                  <w:pPr>
                    <w:spacing w:before="0" w:after="60"/>
                    <w:keepNext/>
                    <w:jc w:val="center"/>
                  </w:pPr>
                  <w:r>
                    <w:rPr>
                      <w:rFonts w:ascii="Calibri" w:hAnsi="Calibri"/>
                      <w:sz w:val="20"/>
                    </w:rPr>
                    <w:t xml:space="default">SMD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Trial 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0.75 (0.61 - 0.91)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0.80 (0.51 - 1.10)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Yes (-0.30)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Trial 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 (0.51 - 0.71)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0.65 (0.55 - 0.69)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color w:val="00640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Yes (-0.48)</w:t>
                  </w:r>
                </w:p>
              </w:tc>
            </w:tr>
          </w:tbl>
          <w:bookmarkEnd w:id="114"/>
        </w:tc>
      </w:tr>
    </w:tbl>
    <w:bookmarkEnd w:id="115"/>
    <w:bookmarkStart w:id="129"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19"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17" name="Picture"/>
                  <a:graphic>
                    <a:graphicData uri="http://schemas.openxmlformats.org/drawingml/2006/picture">
                      <pic:pic>
                        <pic:nvPicPr>
                          <pic:cNvPr descr="../figures/process.png" id="118" name="Picture"/>
                          <pic:cNvPicPr>
                            <a:picLocks noChangeArrowheads="1" noChangeAspect="1"/>
                          </pic:cNvPicPr>
                        </pic:nvPicPr>
                        <pic:blipFill>
                          <a:blip r:embed="rId116"/>
                          <a:stretch>
                            <a:fillRect/>
                          </a:stretch>
                        </pic:blipFill>
                        <pic:spPr bwMode="auto">
                          <a:xfrm>
                            <a:off x="0" y="0"/>
                            <a:ext cx="5943600" cy="3343275"/>
                          </a:xfrm>
                          <a:prstGeom prst="rect">
                            <a:avLst/>
                          </a:prstGeom>
                          <a:noFill/>
                          <a:ln w="9525">
                            <a:noFill/>
                            <a:headEnd/>
                            <a:tailEnd/>
                          </a:ln>
                        </pic:spPr>
                      </pic:pic>
                    </a:graphicData>
                  </a:graphic>
                </wp:inline>
              </w:drawing>
            </w:r>
          </w:p>
          <w:bookmarkEnd w:id="119"/>
        </w:tc>
      </w:tr>
    </w:tbl>
    <w:p>
      <w:pPr>
        <w:pStyle w:val="BodyText"/>
      </w:pPr>
      <w:hyperlink r:id="rId12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4" w:name="fig-initiators"/>
          <w:p>
            <w:pPr>
              <w:jc w:val="center"/>
            </w:pPr>
            <w:pPr>
              <w:jc w:val="start"/>
              <w:spacing w:before="200"/>
              <w:pStyle w:val="ImageCaption"/>
            </w:pPr>
            <w:r>
              <w:t xml:space="preserve">Figure 2: Descriptive drug utilization analyses.</w:t>
            </w:r>
          </w:p>
          <w:p>
            <w:pPr>
              <w:pStyle w:val="Compact"/>
              <w:jc w:val="center"/>
            </w:pPr>
            <w:r>
              <w:drawing>
                <wp:inline>
                  <wp:extent cx="5943600" cy="8319554"/>
                  <wp:effectExtent b="0" l="0" r="0" t="0"/>
                  <wp:docPr descr="" title="" id="122" name="Picture"/>
                  <a:graphic>
                    <a:graphicData uri="http://schemas.openxmlformats.org/drawingml/2006/picture">
                      <pic:pic>
                        <pic:nvPicPr>
                          <pic:cNvPr descr="Figure_2_utlization.png" id="123" name="Picture"/>
                          <pic:cNvPicPr>
                            <a:picLocks noChangeArrowheads="1" noChangeAspect="1"/>
                          </pic:cNvPicPr>
                        </pic:nvPicPr>
                        <pic:blipFill>
                          <a:blip r:embed="rId121"/>
                          <a:stretch>
                            <a:fillRect/>
                          </a:stretch>
                        </pic:blipFill>
                        <pic:spPr bwMode="auto">
                          <a:xfrm>
                            <a:off x="0" y="0"/>
                            <a:ext cx="5943600" cy="8319554"/>
                          </a:xfrm>
                          <a:prstGeom prst="rect">
                            <a:avLst/>
                          </a:prstGeom>
                          <a:noFill/>
                          <a:ln w="9525">
                            <a:noFill/>
                            <a:headEnd/>
                            <a:tailEnd/>
                          </a:ln>
                        </pic:spPr>
                      </pic:pic>
                    </a:graphicData>
                  </a:graphic>
                </wp:inline>
              </w:drawing>
            </w:r>
          </w:p>
          <w:bookmarkEnd w:id="124"/>
        </w:tc>
      </w:tr>
    </w:tbl>
    <w:p>
      <w:r>
        <w:br w:type="page"/>
      </w:r>
    </w:p>
    <w:tbl>
      <w:tblPr>
        <w:tblStyle w:val="Table"/>
        <w:tblW w:type="pct" w:w="5000"/>
        <w:tblLayout w:type="fixed"/>
        <w:tblLook w:firstRow="0" w:lastRow="0" w:firstColumn="0" w:lastColumn="0" w:noHBand="0" w:noVBand="0" w:val="0000"/>
      </w:tblPr>
      <w:tblGrid>
        <w:gridCol w:w="7920"/>
      </w:tblGrid>
      <w:tr>
        <w:tc>
          <w:tcPr/>
          <w:bookmarkStart w:id="128" w:name="fig-balance"/>
          <w:p>
            <w:pPr>
              <w:jc w:val="center"/>
            </w:pPr>
            <w:pPr>
              <w:jc w:val="start"/>
              <w:spacing w:before="200"/>
              <w:pStyle w:val="ImageCaption"/>
            </w:pPr>
            <w:r>
              <w:t xml:space="preserve">Figure 3: Assessment of balance after propensity score matching or weighting across multiple imputed datasets.</w:t>
            </w:r>
          </w:p>
          <w:p>
            <w:pPr>
              <w:pStyle w:val="Compact"/>
              <w:jc w:val="center"/>
            </w:pPr>
            <w:r>
              <w:drawing>
                <wp:inline>
                  <wp:extent cx="5943600" cy="3169920"/>
                  <wp:effectExtent b="0" l="0" r="0" t="0"/>
                  <wp:docPr descr="" title="" id="126" name="Picture"/>
                  <a:graphic>
                    <a:graphicData uri="http://schemas.openxmlformats.org/drawingml/2006/picture">
                      <pic:pic>
                        <pic:nvPicPr>
                          <pic:cNvPr descr="Figure_3_balance.png" id="127" name="Picture"/>
                          <pic:cNvPicPr>
                            <a:picLocks noChangeArrowheads="1" noChangeAspect="1"/>
                          </pic:cNvPicPr>
                        </pic:nvPicPr>
                        <pic:blipFill>
                          <a:blip r:embed="rId125"/>
                          <a:stretch>
                            <a:fillRect/>
                          </a:stretch>
                        </pic:blipFill>
                        <pic:spPr bwMode="auto">
                          <a:xfrm>
                            <a:off x="0" y="0"/>
                            <a:ext cx="5943600" cy="3169920"/>
                          </a:xfrm>
                          <a:prstGeom prst="rect">
                            <a:avLst/>
                          </a:prstGeom>
                          <a:noFill/>
                          <a:ln w="9525">
                            <a:noFill/>
                            <a:headEnd/>
                            <a:tailEnd/>
                          </a:ln>
                        </pic:spPr>
                      </pic:pic>
                    </a:graphicData>
                  </a:graphic>
                </wp:inline>
              </w:drawing>
            </w:r>
          </w:p>
          <w:bookmarkEnd w:id="128"/>
        </w:tc>
      </w:tr>
    </w:tbl>
    <w:bookmarkEnd w:id="129"/>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16" Target="media/rId116.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hyperlink" Id="rId79"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69" Target="http://dx.doi.org/10.1002/pst.1917" TargetMode="External" /><Relationship Type="http://schemas.openxmlformats.org/officeDocument/2006/relationships/hyperlink" Id="rId100" Target="http://dx.doi.org/10.1007/s10198-008-0129-y" TargetMode="External" /><Relationship Type="http://schemas.openxmlformats.org/officeDocument/2006/relationships/hyperlink" Id="rId40" Target="http://dx.doi.org/10.1016/j.annepidem.2022.07.007" TargetMode="External" /><Relationship Type="http://schemas.openxmlformats.org/officeDocument/2006/relationships/hyperlink" Id="rId83" Target="https://arxiv.org/abs/2405.10925" TargetMode="External" /><Relationship Type="http://schemas.openxmlformats.org/officeDocument/2006/relationships/hyperlink" Id="rId59" Target="https://ascopubs.org/doi/abs/10.1200/JCO.2023.41.16_suppl.e21194" TargetMode="External" /><Relationship Type="http://schemas.openxmlformats.org/officeDocument/2006/relationships/hyperlink" Id="rId89" Target="https://doi.org/10.1001/jama.2020.1267" TargetMode="External" /><Relationship Type="http://schemas.openxmlformats.org/officeDocument/2006/relationships/hyperlink" Id="rId46" Target="https://doi.org/10.1001/jama.2023.4221" TargetMode="External" /><Relationship Type="http://schemas.openxmlformats.org/officeDocument/2006/relationships/hyperlink" Id="rId66" Target="https://doi.org/10.1016/j.jclinepi.2016.04.014" TargetMode="External" /><Relationship Type="http://schemas.openxmlformats.org/officeDocument/2006/relationships/hyperlink" Id="rId63" Target="https://doi.org/10.1016/j.jval.2022.09.001" TargetMode="External" /><Relationship Type="http://schemas.openxmlformats.org/officeDocument/2006/relationships/hyperlink" Id="rId48" Target="https://doi.org/10.1136/bmjmed-2023-000709" TargetMode="External" /><Relationship Type="http://schemas.openxmlformats.org/officeDocument/2006/relationships/hyperlink" Id="rId56" Target="https://doi.org/10.1158/1078-0432.CCR-22-0471" TargetMode="External" /><Relationship Type="http://schemas.openxmlformats.org/officeDocument/2006/relationships/hyperlink" Id="rId85" Target="https://github.com/PamelaShaw/Missing-Confounders-Methods" TargetMode="External" /><Relationship Type="http://schemas.openxmlformats.org/officeDocument/2006/relationships/hyperlink" Id="rId120" Target="https://github.com/janickweberpals/encore-process-manuscript/blob/main/figures/process.png" TargetMode="External" /><Relationship Type="http://schemas.openxmlformats.org/officeDocument/2006/relationships/hyperlink" Id="rId74" Target="https://keaven.github.io/gsDesign/" TargetMode="External" /><Relationship Type="http://schemas.openxmlformats.org/officeDocument/2006/relationships/hyperlink" Id="rId50" Target="https://www.fda.gov/about-fda/oncology-center-excellence/calibrating-real-world-evidence-studies-oncology-against-randomized-trials-encore" TargetMode="External" /><Relationship Type="http://schemas.openxmlformats.org/officeDocument/2006/relationships/hyperlink" Id="rId36"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79"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69" Target="http://dx.doi.org/10.1002/pst.1917" TargetMode="External" /><Relationship Type="http://schemas.openxmlformats.org/officeDocument/2006/relationships/hyperlink" Id="rId100" Target="http://dx.doi.org/10.1007/s10198-008-0129-y" TargetMode="External" /><Relationship Type="http://schemas.openxmlformats.org/officeDocument/2006/relationships/hyperlink" Id="rId40" Target="http://dx.doi.org/10.1016/j.annepidem.2022.07.007" TargetMode="External" /><Relationship Type="http://schemas.openxmlformats.org/officeDocument/2006/relationships/hyperlink" Id="rId83" Target="https://arxiv.org/abs/2405.10925" TargetMode="External" /><Relationship Type="http://schemas.openxmlformats.org/officeDocument/2006/relationships/hyperlink" Id="rId59" Target="https://ascopubs.org/doi/abs/10.1200/JCO.2023.41.16_suppl.e21194" TargetMode="External" /><Relationship Type="http://schemas.openxmlformats.org/officeDocument/2006/relationships/hyperlink" Id="rId89" Target="https://doi.org/10.1001/jama.2020.1267" TargetMode="External" /><Relationship Type="http://schemas.openxmlformats.org/officeDocument/2006/relationships/hyperlink" Id="rId46" Target="https://doi.org/10.1001/jama.2023.4221" TargetMode="External" /><Relationship Type="http://schemas.openxmlformats.org/officeDocument/2006/relationships/hyperlink" Id="rId66" Target="https://doi.org/10.1016/j.jclinepi.2016.04.014" TargetMode="External" /><Relationship Type="http://schemas.openxmlformats.org/officeDocument/2006/relationships/hyperlink" Id="rId63" Target="https://doi.org/10.1016/j.jval.2022.09.001" TargetMode="External" /><Relationship Type="http://schemas.openxmlformats.org/officeDocument/2006/relationships/hyperlink" Id="rId48" Target="https://doi.org/10.1136/bmjmed-2023-000709" TargetMode="External" /><Relationship Type="http://schemas.openxmlformats.org/officeDocument/2006/relationships/hyperlink" Id="rId56" Target="https://doi.org/10.1158/1078-0432.CCR-22-0471" TargetMode="External" /><Relationship Type="http://schemas.openxmlformats.org/officeDocument/2006/relationships/hyperlink" Id="rId85" Target="https://github.com/PamelaShaw/Missing-Confounders-Methods" TargetMode="External" /><Relationship Type="http://schemas.openxmlformats.org/officeDocument/2006/relationships/hyperlink" Id="rId120" Target="https://github.com/janickweberpals/encore-process-manuscript/blob/main/figures/process.png" TargetMode="External" /><Relationship Type="http://schemas.openxmlformats.org/officeDocument/2006/relationships/hyperlink" Id="rId74" Target="https://keaven.github.io/gsDesign/" TargetMode="External" /><Relationship Type="http://schemas.openxmlformats.org/officeDocument/2006/relationships/hyperlink" Id="rId50" Target="https://www.fda.gov/about-fda/oncology-center-excellence/calibrating-real-world-evidence-studies-oncology-against-randomized-trials-encore" TargetMode="External" /><Relationship Type="http://schemas.openxmlformats.org/officeDocument/2006/relationships/hyperlink" Id="rId36"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2024-12-15T14:13:56Z</dcterms:created>
  <dcterms:modified xsi:type="dcterms:W3CDTF">2024-12-15T14:13:56Z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